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D5" w:rsidRPr="00BC005D" w:rsidRDefault="008C56D5" w:rsidP="00BC005D">
      <w:pPr>
        <w:spacing w:after="0" w:line="259" w:lineRule="auto"/>
        <w:ind w:left="0" w:firstLine="0"/>
        <w:jc w:val="center"/>
        <w:rPr>
          <w:b/>
          <w:sz w:val="28"/>
          <w:szCs w:val="28"/>
          <w:u w:val="single" w:color="000000"/>
        </w:rPr>
      </w:pPr>
      <w:r w:rsidRPr="00BC005D">
        <w:rPr>
          <w:b/>
          <w:sz w:val="28"/>
          <w:szCs w:val="28"/>
          <w:u w:val="single" w:color="000000"/>
        </w:rPr>
        <w:t>Cardiff and Vale University Health Board</w:t>
      </w:r>
    </w:p>
    <w:p w:rsidR="00BF47F7" w:rsidRPr="00BC005D" w:rsidRDefault="00BC005D" w:rsidP="00BC005D">
      <w:pPr>
        <w:spacing w:after="0" w:line="259" w:lineRule="auto"/>
        <w:ind w:left="0" w:firstLine="0"/>
        <w:jc w:val="center"/>
        <w:rPr>
          <w:b/>
          <w:sz w:val="28"/>
          <w:szCs w:val="28"/>
        </w:rPr>
      </w:pPr>
      <w:r w:rsidRPr="00BC005D">
        <w:rPr>
          <w:b/>
          <w:sz w:val="28"/>
          <w:szCs w:val="28"/>
          <w:u w:val="single" w:color="000000"/>
        </w:rPr>
        <w:t>Communication Standards between Primary and Secondary care</w:t>
      </w:r>
    </w:p>
    <w:p w:rsidR="008C56D5" w:rsidRDefault="008C56D5" w:rsidP="00BC005D">
      <w:pPr>
        <w:spacing w:after="0" w:line="259" w:lineRule="auto"/>
        <w:ind w:left="0" w:firstLine="0"/>
        <w:jc w:val="center"/>
      </w:pPr>
      <w:r>
        <w:t>(Agreed Cardiff and Vale UHB Health Services Management Board – February 2018)</w:t>
      </w:r>
    </w:p>
    <w:p w:rsidR="00BC005D" w:rsidRDefault="00BC005D" w:rsidP="00BC005D">
      <w:pPr>
        <w:spacing w:after="0" w:line="259" w:lineRule="auto"/>
        <w:ind w:left="0" w:firstLine="0"/>
        <w:jc w:val="center"/>
      </w:pPr>
    </w:p>
    <w:p w:rsidR="00BF47F7" w:rsidRPr="00BC005D" w:rsidRDefault="00BC005D" w:rsidP="00BC005D">
      <w:pPr>
        <w:spacing w:after="0" w:line="259" w:lineRule="auto"/>
        <w:ind w:left="0" w:firstLine="0"/>
        <w:jc w:val="center"/>
        <w:rPr>
          <w:b/>
        </w:rPr>
      </w:pPr>
      <w:r w:rsidRPr="00BC005D">
        <w:rPr>
          <w:b/>
          <w:sz w:val="28"/>
          <w:szCs w:val="28"/>
        </w:rPr>
        <w:t>Standards</w:t>
      </w:r>
    </w:p>
    <w:p w:rsidR="00BF47F7" w:rsidRDefault="00BF47F7" w:rsidP="008C56D5">
      <w:pPr>
        <w:spacing w:after="0" w:line="259" w:lineRule="auto"/>
        <w:ind w:left="0" w:firstLine="0"/>
        <w:jc w:val="center"/>
      </w:pPr>
    </w:p>
    <w:tbl>
      <w:tblPr>
        <w:tblStyle w:val="TableGrid"/>
        <w:tblW w:w="8523" w:type="dxa"/>
        <w:tblInd w:w="-108" w:type="dxa"/>
        <w:tblCellMar>
          <w:top w:w="52" w:type="dxa"/>
          <w:left w:w="107" w:type="dxa"/>
          <w:right w:w="75" w:type="dxa"/>
        </w:tblCellMar>
        <w:tblLook w:val="04A0" w:firstRow="1" w:lastRow="0" w:firstColumn="1" w:lastColumn="0" w:noHBand="0" w:noVBand="1"/>
      </w:tblPr>
      <w:tblGrid>
        <w:gridCol w:w="817"/>
        <w:gridCol w:w="7706"/>
      </w:tblGrid>
      <w:tr w:rsidR="00BF47F7">
        <w:trPr>
          <w:trHeight w:val="300"/>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 </w:t>
            </w:r>
          </w:p>
        </w:tc>
        <w:tc>
          <w:tcPr>
            <w:tcW w:w="7706" w:type="dxa"/>
            <w:tcBorders>
              <w:top w:val="single" w:sz="4" w:space="0" w:color="000000"/>
              <w:left w:val="single" w:sz="4" w:space="0" w:color="000000"/>
              <w:bottom w:val="single" w:sz="4" w:space="0" w:color="000000"/>
              <w:right w:val="single" w:sz="4" w:space="0" w:color="000000"/>
            </w:tcBorders>
            <w:shd w:val="clear" w:color="auto" w:fill="8DB3E2"/>
          </w:tcPr>
          <w:p w:rsidR="00BF47F7" w:rsidRDefault="00BC005D">
            <w:pPr>
              <w:spacing w:after="0" w:line="259" w:lineRule="auto"/>
              <w:ind w:left="0" w:firstLine="0"/>
            </w:pPr>
            <w:r>
              <w:rPr>
                <w:b/>
              </w:rPr>
              <w:t xml:space="preserve">Communication, referral and  delegation standards </w:t>
            </w:r>
          </w:p>
        </w:tc>
      </w:tr>
      <w:tr w:rsidR="00BF47F7">
        <w:trPr>
          <w:trHeight w:val="889"/>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1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Letters sent following an outpatient consultation should be addressed to the referring GP or Consultant. If sent to a referring consultant it should be copied to the patients registered GP. </w:t>
            </w:r>
          </w:p>
        </w:tc>
      </w:tr>
      <w:tr w:rsidR="00BF47F7">
        <w:trPr>
          <w:trHeight w:val="302"/>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2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Results of investigations remain the responsibility of the requesting doctor. </w:t>
            </w:r>
          </w:p>
        </w:tc>
      </w:tr>
      <w:tr w:rsidR="00BF47F7">
        <w:trPr>
          <w:trHeight w:val="598"/>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3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It is the responsibility of the requesting doctor to arrange for investigations to be carried out. </w:t>
            </w:r>
          </w:p>
        </w:tc>
      </w:tr>
      <w:tr w:rsidR="00BF47F7">
        <w:trPr>
          <w:trHeight w:val="1181"/>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4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The referring GP should be informed in each case where the priority of a referral is altered by, from that assigned in the referral. The GP referral should contain all information which is used to determine the priority of the referral. </w:t>
            </w:r>
          </w:p>
        </w:tc>
      </w:tr>
      <w:tr w:rsidR="00BF47F7">
        <w:trPr>
          <w:trHeight w:val="595"/>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5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Onward referral of patients is the responsibility of hospital staff, where the condition is directly linked to the initial GP referral. </w:t>
            </w:r>
          </w:p>
        </w:tc>
      </w:tr>
      <w:tr w:rsidR="00BF47F7">
        <w:trPr>
          <w:trHeight w:val="598"/>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6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Patients who contact hospital staff in an attempt to expedite appointments should not routinely be advised to see their GP. </w:t>
            </w:r>
          </w:p>
        </w:tc>
      </w:tr>
      <w:tr w:rsidR="00BF47F7">
        <w:trPr>
          <w:trHeight w:val="888"/>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7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Any doctor/specialist nurse referring a patient for a consultation with another specialist should ensure the patient understands the reason for the referral.  </w:t>
            </w:r>
          </w:p>
        </w:tc>
      </w:tr>
      <w:tr w:rsidR="00BF47F7">
        <w:trPr>
          <w:trHeight w:val="596"/>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8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All correspondence between doctors in primary and secondary care should be dealt with promptly </w:t>
            </w:r>
          </w:p>
        </w:tc>
      </w:tr>
      <w:tr w:rsidR="00BF47F7">
        <w:trPr>
          <w:trHeight w:val="890"/>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9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GPs should not be asked to prescribe medication under shared care arrangements until formal agreement has been obtained by the requesting clinician. </w:t>
            </w:r>
          </w:p>
        </w:tc>
      </w:tr>
      <w:tr w:rsidR="00BF47F7">
        <w:trPr>
          <w:trHeight w:val="1181"/>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10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The responsibility for issuing Med3 certificates lies with the clinician who advises the patient to refrain from work, and certificates issues should be of sufficient duration to cover expected work absence, subject to issuing guidance. </w:t>
            </w:r>
          </w:p>
        </w:tc>
      </w:tr>
      <w:tr w:rsidR="00BF47F7">
        <w:trPr>
          <w:trHeight w:val="890"/>
        </w:trPr>
        <w:tc>
          <w:tcPr>
            <w:tcW w:w="817"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1" w:firstLine="0"/>
            </w:pPr>
            <w:r>
              <w:t xml:space="preserve">11 </w:t>
            </w:r>
          </w:p>
        </w:tc>
        <w:tc>
          <w:tcPr>
            <w:tcW w:w="7706" w:type="dxa"/>
            <w:tcBorders>
              <w:top w:val="single" w:sz="4" w:space="0" w:color="000000"/>
              <w:left w:val="single" w:sz="4" w:space="0" w:color="000000"/>
              <w:bottom w:val="single" w:sz="4" w:space="0" w:color="000000"/>
              <w:right w:val="single" w:sz="4" w:space="0" w:color="000000"/>
            </w:tcBorders>
          </w:tcPr>
          <w:p w:rsidR="00BF47F7" w:rsidRDefault="00BC005D">
            <w:pPr>
              <w:spacing w:after="0" w:line="259" w:lineRule="auto"/>
              <w:ind w:left="0" w:firstLine="0"/>
            </w:pPr>
            <w:r>
              <w:t xml:space="preserve">Where patients do not attend for out-patients appointments without giving notice, in line with WAG guidelines for pathway management they will be discharged. Both the GP and patient should be advised of the discharge. </w:t>
            </w:r>
          </w:p>
        </w:tc>
      </w:tr>
    </w:tbl>
    <w:p w:rsidR="00BF47F7" w:rsidRDefault="00BC005D">
      <w:pPr>
        <w:spacing w:after="0" w:line="259" w:lineRule="auto"/>
        <w:ind w:left="0" w:firstLine="0"/>
      </w:pPr>
      <w:r>
        <w:t xml:space="preserve"> </w:t>
      </w:r>
    </w:p>
    <w:p w:rsidR="00BC005D" w:rsidRDefault="00BC005D">
      <w:pPr>
        <w:spacing w:after="0" w:line="259" w:lineRule="auto"/>
        <w:ind w:left="0" w:firstLine="0"/>
        <w:rPr>
          <w:b/>
          <w:sz w:val="28"/>
          <w:szCs w:val="28"/>
        </w:rPr>
      </w:pPr>
      <w:r w:rsidRPr="00BC005D">
        <w:rPr>
          <w:b/>
          <w:sz w:val="28"/>
          <w:szCs w:val="28"/>
        </w:rPr>
        <w:t>Dr Graham Shortland</w:t>
      </w:r>
    </w:p>
    <w:p w:rsidR="00BC005D" w:rsidRDefault="00BC005D">
      <w:pPr>
        <w:spacing w:after="0" w:line="259" w:lineRule="auto"/>
        <w:ind w:left="0" w:firstLine="0"/>
        <w:rPr>
          <w:b/>
          <w:sz w:val="28"/>
          <w:szCs w:val="28"/>
        </w:rPr>
      </w:pPr>
      <w:r w:rsidRPr="00BC005D">
        <w:rPr>
          <w:b/>
          <w:sz w:val="28"/>
          <w:szCs w:val="28"/>
        </w:rPr>
        <w:t>Executive Medical Director</w:t>
      </w:r>
      <w:r>
        <w:rPr>
          <w:b/>
          <w:sz w:val="28"/>
          <w:szCs w:val="28"/>
        </w:rPr>
        <w:t xml:space="preserve"> </w:t>
      </w:r>
    </w:p>
    <w:p w:rsidR="00BF47F7" w:rsidRPr="00BC005D" w:rsidRDefault="00BC005D">
      <w:pPr>
        <w:spacing w:after="0" w:line="259" w:lineRule="auto"/>
        <w:ind w:left="0" w:firstLine="0"/>
        <w:rPr>
          <w:b/>
          <w:sz w:val="28"/>
          <w:szCs w:val="28"/>
        </w:rPr>
      </w:pPr>
      <w:r>
        <w:rPr>
          <w:b/>
          <w:sz w:val="28"/>
          <w:szCs w:val="28"/>
        </w:rPr>
        <w:t>16.3.2018</w:t>
      </w:r>
    </w:p>
    <w:p w:rsidR="00BF47F7" w:rsidRPr="00BC005D" w:rsidRDefault="00BC005D" w:rsidP="00BC005D">
      <w:pPr>
        <w:pStyle w:val="Heading1"/>
        <w:numPr>
          <w:ilvl w:val="0"/>
          <w:numId w:val="0"/>
        </w:numPr>
        <w:ind w:left="-5"/>
        <w:jc w:val="center"/>
        <w:rPr>
          <w:sz w:val="28"/>
          <w:szCs w:val="28"/>
        </w:rPr>
      </w:pPr>
      <w:r w:rsidRPr="00BC005D">
        <w:rPr>
          <w:sz w:val="28"/>
          <w:szCs w:val="28"/>
        </w:rPr>
        <w:lastRenderedPageBreak/>
        <w:t>Explanatory Notes</w:t>
      </w:r>
    </w:p>
    <w:p w:rsidR="00BF47F7" w:rsidRDefault="00BC005D">
      <w:pPr>
        <w:ind w:left="370" w:right="7"/>
      </w:pPr>
      <w:r>
        <w:t>1.</w:t>
      </w:r>
      <w:r>
        <w:rPr>
          <w:rFonts w:ascii="Arial" w:eastAsia="Arial" w:hAnsi="Arial" w:cs="Arial"/>
        </w:rPr>
        <w:t xml:space="preserve"> </w:t>
      </w:r>
      <w:r>
        <w:t xml:space="preserve">Standard 1 </w:t>
      </w:r>
    </w:p>
    <w:p w:rsidR="00BC005D" w:rsidRDefault="00BC005D">
      <w:pPr>
        <w:ind w:left="730" w:right="7"/>
      </w:pPr>
    </w:p>
    <w:p w:rsidR="00BF47F7" w:rsidRDefault="00BC005D">
      <w:pPr>
        <w:ind w:left="730" w:right="7"/>
      </w:pPr>
      <w:r>
        <w:t xml:space="preserve">This standard comes from the Robert Powell enquiry (see below) but acknowledges that it is not possible in all circumstances.  </w:t>
      </w:r>
    </w:p>
    <w:p w:rsidR="00BF47F7" w:rsidRDefault="00BC005D">
      <w:pPr>
        <w:ind w:left="730" w:right="7"/>
      </w:pPr>
      <w:r>
        <w:t xml:space="preserve">It will occasionally not be possible to direct correspondence to a particular </w:t>
      </w:r>
    </w:p>
    <w:p w:rsidR="00BF47F7" w:rsidRDefault="00BC005D">
      <w:pPr>
        <w:spacing w:after="0" w:line="259" w:lineRule="auto"/>
        <w:ind w:left="0" w:firstLine="0"/>
        <w:jc w:val="right"/>
      </w:pPr>
      <w:r>
        <w:t xml:space="preserve">GP, e.g when a locum refers, and in this case the Robert Powell enquiry states </w:t>
      </w:r>
    </w:p>
    <w:p w:rsidR="008C56D5" w:rsidRDefault="00BC005D">
      <w:pPr>
        <w:ind w:left="730" w:right="172"/>
        <w:rPr>
          <w:rFonts w:ascii="Times New Roman" w:eastAsia="Times New Roman" w:hAnsi="Times New Roman" w:cs="Times New Roman"/>
        </w:rPr>
      </w:pPr>
      <w:r>
        <w:t xml:space="preserve">that practices must have a process in place to safely manage the situation.   The standard as designated here also means that if the outpatient referral is from another hospital doctor the letter should go back to the referring consultant, though for completeness the letter should be copied to the registered GP. </w:t>
      </w:r>
      <w:r>
        <w:rPr>
          <w:rFonts w:ascii="Times New Roman" w:eastAsia="Times New Roman" w:hAnsi="Times New Roman" w:cs="Times New Roman"/>
        </w:rPr>
        <w:t xml:space="preserve"> </w:t>
      </w:r>
    </w:p>
    <w:p w:rsidR="008C56D5" w:rsidRDefault="008C56D5">
      <w:pPr>
        <w:ind w:left="730" w:right="172"/>
        <w:rPr>
          <w:color w:val="548DD4"/>
        </w:rPr>
      </w:pPr>
    </w:p>
    <w:p w:rsidR="00BF47F7" w:rsidRPr="008C56D5" w:rsidRDefault="00BC005D">
      <w:pPr>
        <w:ind w:left="730" w:right="172"/>
        <w:rPr>
          <w:i/>
        </w:rPr>
      </w:pPr>
      <w:r w:rsidRPr="008C56D5">
        <w:rPr>
          <w:i/>
          <w:color w:val="548DD4"/>
        </w:rPr>
        <w:t xml:space="preserve">Case illustration 1  </w:t>
      </w:r>
    </w:p>
    <w:p w:rsidR="00BF47F7" w:rsidRPr="008C56D5" w:rsidRDefault="00BC005D">
      <w:pPr>
        <w:spacing w:after="0" w:line="240" w:lineRule="auto"/>
        <w:ind w:left="720" w:firstLine="0"/>
        <w:rPr>
          <w:i/>
        </w:rPr>
      </w:pPr>
      <w:r w:rsidRPr="008C56D5">
        <w:rPr>
          <w:i/>
        </w:rPr>
        <w:t xml:space="preserve">Dr A refers a patient to OPD, who is seen by Consultant B; B replies by letter, however this is addressed to the registered GP, who on receipt of the correspondence has to look at the patient’s record to determine which GP the letter needs to be passed on to. This may result in delays in patient treatment so should be avoided. </w:t>
      </w:r>
    </w:p>
    <w:p w:rsidR="00BF47F7" w:rsidRPr="008C56D5" w:rsidRDefault="00BC005D">
      <w:pPr>
        <w:spacing w:after="12" w:line="259" w:lineRule="auto"/>
        <w:ind w:left="720" w:firstLine="0"/>
        <w:rPr>
          <w:i/>
        </w:rPr>
      </w:pPr>
      <w:r w:rsidRPr="008C56D5">
        <w:rPr>
          <w:i/>
        </w:rPr>
        <w:t xml:space="preserve"> </w:t>
      </w:r>
    </w:p>
    <w:p w:rsidR="00BF47F7" w:rsidRDefault="00BC005D">
      <w:pPr>
        <w:numPr>
          <w:ilvl w:val="0"/>
          <w:numId w:val="1"/>
        </w:numPr>
        <w:spacing w:after="5" w:line="250" w:lineRule="auto"/>
        <w:ind w:right="7" w:hanging="360"/>
      </w:pPr>
      <w:r>
        <w:t xml:space="preserve">Standard 2 </w:t>
      </w:r>
    </w:p>
    <w:p w:rsidR="008C56D5" w:rsidRDefault="008C56D5">
      <w:pPr>
        <w:spacing w:after="5" w:line="250" w:lineRule="auto"/>
        <w:ind w:left="715" w:right="5769" w:hanging="370"/>
        <w:rPr>
          <w:color w:val="0070C0"/>
        </w:rPr>
      </w:pPr>
      <w:r>
        <w:rPr>
          <w:color w:val="0070C0"/>
        </w:rPr>
        <w:tab/>
      </w:r>
    </w:p>
    <w:p w:rsidR="008C56D5" w:rsidRDefault="008C56D5" w:rsidP="008C56D5">
      <w:pPr>
        <w:ind w:left="730" w:right="7"/>
      </w:pPr>
      <w:r>
        <w:rPr>
          <w:color w:val="0070C0"/>
        </w:rPr>
        <w:tab/>
      </w:r>
      <w:r>
        <w:t xml:space="preserve">The principle is that the requesting doctor is responsible for reviewing and acting upon the test results but the action may then include a referral either onwards or back to a GP. It is not appropriate however for results of hospital investigations to be faxed to the GP or vice versa without a prior agreement with the doctor receiving the results that they will contact the patient and act on the results. </w:t>
      </w:r>
    </w:p>
    <w:p w:rsidR="008C56D5" w:rsidRPr="008C56D5" w:rsidRDefault="008C56D5" w:rsidP="008C56D5">
      <w:pPr>
        <w:ind w:left="730" w:right="7"/>
      </w:pPr>
    </w:p>
    <w:p w:rsidR="00BF47F7" w:rsidRPr="008C56D5" w:rsidRDefault="008C56D5">
      <w:pPr>
        <w:spacing w:after="5" w:line="250" w:lineRule="auto"/>
        <w:ind w:left="715" w:right="5769" w:hanging="370"/>
        <w:rPr>
          <w:color w:val="0070C0"/>
          <w:szCs w:val="24"/>
        </w:rPr>
      </w:pPr>
      <w:r>
        <w:rPr>
          <w:color w:val="0070C0"/>
        </w:rPr>
        <w:tab/>
      </w:r>
      <w:r w:rsidR="00BC005D" w:rsidRPr="008C56D5">
        <w:rPr>
          <w:color w:val="0070C0"/>
          <w:szCs w:val="24"/>
        </w:rPr>
        <w:t xml:space="preserve">Case illustration 2: </w:t>
      </w:r>
    </w:p>
    <w:p w:rsidR="00BF47F7" w:rsidRPr="008C56D5" w:rsidRDefault="00BC005D" w:rsidP="008C56D5">
      <w:pPr>
        <w:spacing w:after="0" w:line="241" w:lineRule="auto"/>
        <w:ind w:left="715" w:firstLine="0"/>
        <w:rPr>
          <w:szCs w:val="24"/>
        </w:rPr>
      </w:pPr>
      <w:r w:rsidRPr="008C56D5">
        <w:rPr>
          <w:i/>
          <w:szCs w:val="24"/>
        </w:rPr>
        <w:t xml:space="preserve">56 year old man is referred by the GP to gastroenterology outpatients  for the investigation of abnormal liver function tests. As part of the liver screen the patient has a blood glucose and lipid profile checked as risk factors for NAFLD. The patient is found to have a  raised blood sugar and triglycerides. It is the responsibility of the requesting doctor to look at and act upon the test results. In this case acting upon the test results would then include informing both the patient and the GP and requesting the GP see the patient in the practice diabetic clinic. </w:t>
      </w:r>
    </w:p>
    <w:p w:rsidR="00BF47F7" w:rsidRPr="008C56D5" w:rsidRDefault="00BC005D" w:rsidP="008C56D5">
      <w:pPr>
        <w:spacing w:after="21" w:line="259" w:lineRule="auto"/>
        <w:ind w:left="720" w:firstLine="0"/>
        <w:rPr>
          <w:szCs w:val="24"/>
        </w:rPr>
      </w:pPr>
      <w:r w:rsidRPr="008C56D5">
        <w:rPr>
          <w:i/>
          <w:szCs w:val="24"/>
        </w:rPr>
        <w:t xml:space="preserve"> </w:t>
      </w:r>
    </w:p>
    <w:p w:rsidR="008C56D5" w:rsidRDefault="00BC005D">
      <w:pPr>
        <w:numPr>
          <w:ilvl w:val="0"/>
          <w:numId w:val="1"/>
        </w:numPr>
        <w:spacing w:after="5" w:line="250" w:lineRule="auto"/>
        <w:ind w:right="7" w:hanging="360"/>
      </w:pPr>
      <w:r>
        <w:t xml:space="preserve">Standard 3 </w:t>
      </w:r>
    </w:p>
    <w:p w:rsidR="008C56D5" w:rsidRDefault="008C56D5" w:rsidP="008C56D5">
      <w:pPr>
        <w:spacing w:after="5" w:line="250" w:lineRule="auto"/>
        <w:ind w:left="720" w:right="7" w:firstLine="0"/>
      </w:pPr>
    </w:p>
    <w:p w:rsidR="008C56D5" w:rsidRDefault="008C56D5" w:rsidP="008C56D5">
      <w:pPr>
        <w:ind w:left="730" w:right="7"/>
      </w:pPr>
      <w:r>
        <w:t>The application of this standard  will differ depending on the availability of direct access referral by GP .</w:t>
      </w:r>
      <w:r>
        <w:rPr>
          <w:rFonts w:ascii="Times New Roman" w:eastAsia="Times New Roman" w:hAnsi="Times New Roman" w:cs="Times New Roman"/>
        </w:rPr>
        <w:t xml:space="preserve"> </w:t>
      </w:r>
    </w:p>
    <w:p w:rsidR="008C56D5" w:rsidRDefault="008C56D5" w:rsidP="008C56D5">
      <w:pPr>
        <w:spacing w:after="5" w:line="250" w:lineRule="auto"/>
        <w:ind w:left="720" w:right="7" w:firstLine="0"/>
      </w:pPr>
    </w:p>
    <w:p w:rsidR="008C56D5" w:rsidRDefault="008C56D5" w:rsidP="008C56D5">
      <w:pPr>
        <w:spacing w:after="5" w:line="250" w:lineRule="auto"/>
        <w:ind w:left="720" w:right="7" w:firstLine="0"/>
      </w:pPr>
    </w:p>
    <w:p w:rsidR="008C56D5" w:rsidRDefault="008C56D5" w:rsidP="008C56D5">
      <w:pPr>
        <w:spacing w:after="5" w:line="250" w:lineRule="auto"/>
        <w:ind w:left="720" w:right="7" w:firstLine="0"/>
      </w:pPr>
    </w:p>
    <w:p w:rsidR="00BF47F7" w:rsidRPr="008C56D5" w:rsidRDefault="00BC005D" w:rsidP="008C56D5">
      <w:pPr>
        <w:spacing w:after="5" w:line="250" w:lineRule="auto"/>
        <w:ind w:left="720" w:right="7" w:firstLine="0"/>
        <w:rPr>
          <w:szCs w:val="24"/>
        </w:rPr>
      </w:pPr>
      <w:r w:rsidRPr="008C56D5">
        <w:rPr>
          <w:color w:val="0070C0"/>
          <w:szCs w:val="24"/>
        </w:rPr>
        <w:t xml:space="preserve">Case illustration 3: </w:t>
      </w:r>
    </w:p>
    <w:p w:rsidR="00BF47F7" w:rsidRPr="008C56D5" w:rsidRDefault="008C56D5" w:rsidP="008C56D5">
      <w:pPr>
        <w:spacing w:after="36" w:line="241" w:lineRule="auto"/>
        <w:ind w:left="715" w:firstLine="0"/>
        <w:rPr>
          <w:szCs w:val="24"/>
        </w:rPr>
      </w:pPr>
      <w:r w:rsidRPr="008C56D5">
        <w:rPr>
          <w:i/>
          <w:szCs w:val="24"/>
        </w:rPr>
        <w:t xml:space="preserve">A </w:t>
      </w:r>
      <w:r w:rsidR="00BC005D" w:rsidRPr="008C56D5">
        <w:rPr>
          <w:i/>
          <w:szCs w:val="24"/>
        </w:rPr>
        <w:t xml:space="preserve">72 year old man is seen in his GP surgery complaining of progressive dysphagia and weight loss, he has little other medical history and is not a frequent attender at the surgery. The GP should refer to endoscopy for an open access endoscopy on a USC pathway, it would not be appropriate for the GP to refer to gastroenterology saying ‘I would be grateful if you could arrange an endoscopy on this 72 year old man…’ </w:t>
      </w:r>
    </w:p>
    <w:p w:rsidR="00BF47F7" w:rsidRPr="008C56D5" w:rsidRDefault="00BC005D">
      <w:pPr>
        <w:spacing w:after="0" w:line="259" w:lineRule="auto"/>
        <w:ind w:left="720" w:firstLine="0"/>
        <w:rPr>
          <w:szCs w:val="24"/>
        </w:rPr>
      </w:pPr>
      <w:r w:rsidRPr="008C56D5">
        <w:rPr>
          <w:szCs w:val="24"/>
        </w:rPr>
        <w:t xml:space="preserve"> </w:t>
      </w:r>
    </w:p>
    <w:p w:rsidR="00BF47F7" w:rsidRPr="008C56D5" w:rsidRDefault="00BC005D">
      <w:pPr>
        <w:spacing w:after="5" w:line="250" w:lineRule="auto"/>
        <w:ind w:left="720" w:right="5769" w:firstLine="0"/>
        <w:rPr>
          <w:szCs w:val="24"/>
        </w:rPr>
      </w:pPr>
      <w:r w:rsidRPr="008C56D5">
        <w:rPr>
          <w:color w:val="0070C0"/>
          <w:szCs w:val="24"/>
        </w:rPr>
        <w:t xml:space="preserve">Case illustration 4: </w:t>
      </w:r>
    </w:p>
    <w:p w:rsidR="00BF47F7" w:rsidRPr="008C56D5" w:rsidRDefault="00BC005D">
      <w:pPr>
        <w:spacing w:after="0" w:line="241" w:lineRule="auto"/>
        <w:ind w:left="715"/>
        <w:rPr>
          <w:szCs w:val="24"/>
        </w:rPr>
      </w:pPr>
      <w:r w:rsidRPr="008C56D5">
        <w:rPr>
          <w:i/>
          <w:szCs w:val="24"/>
        </w:rPr>
        <w:t xml:space="preserve">A 58 year old man:  seen on the surgical acute intake after presenting to A&amp;E with rectal bleeding which has happened on a number of occasions over the past few weeks. The bleeding is not immediately serious and the patient does not warrant emergency admission so the patient is discharged by the surgical team. The plan is that the patient needs a flexible sigmoidoscopy as an outpatient; it is the duty of the surgical team to arrange the flexible sigmoidoscopy, it would not be appropriate to ask the patient to see their GP to arrange the test.  </w:t>
      </w:r>
    </w:p>
    <w:p w:rsidR="00BF47F7" w:rsidRPr="008C56D5" w:rsidRDefault="00BC005D">
      <w:pPr>
        <w:spacing w:after="0" w:line="241" w:lineRule="auto"/>
        <w:ind w:left="715"/>
        <w:rPr>
          <w:szCs w:val="24"/>
        </w:rPr>
      </w:pPr>
      <w:r w:rsidRPr="008C56D5">
        <w:rPr>
          <w:i/>
          <w:szCs w:val="24"/>
        </w:rPr>
        <w:t xml:space="preserve">However if the scenario were slightly different and the patient had had a single episode of fresh rectal bleeding on straining and the A&amp;E doctor was satisfied this was a one off episode related to straining and rectal examination was normal, they might well advise the patient that if the bleeding reoccurs that they consult their GP with a view to direct referral to endoscopy for flexible sigmoidoscopy. In this case the GP must be notified that the patient has been given this advice </w:t>
      </w:r>
    </w:p>
    <w:p w:rsidR="00BF47F7" w:rsidRDefault="00BC005D">
      <w:pPr>
        <w:spacing w:after="56" w:line="259" w:lineRule="auto"/>
        <w:ind w:left="720" w:firstLine="0"/>
      </w:pPr>
      <w:r w:rsidRPr="008C56D5">
        <w:rPr>
          <w:i/>
          <w:szCs w:val="24"/>
        </w:rPr>
        <w:t xml:space="preserve"> </w:t>
      </w:r>
    </w:p>
    <w:p w:rsidR="00BF47F7" w:rsidRDefault="00BC005D">
      <w:pPr>
        <w:numPr>
          <w:ilvl w:val="0"/>
          <w:numId w:val="1"/>
        </w:numPr>
        <w:ind w:right="7" w:hanging="360"/>
      </w:pPr>
      <w:r>
        <w:t xml:space="preserve">Standard 4 </w:t>
      </w:r>
    </w:p>
    <w:p w:rsidR="00BC005D" w:rsidRDefault="00BC005D">
      <w:pPr>
        <w:ind w:left="730" w:right="7"/>
      </w:pPr>
    </w:p>
    <w:p w:rsidR="00BF47F7" w:rsidRDefault="00BC005D">
      <w:pPr>
        <w:ind w:left="730" w:right="7"/>
      </w:pPr>
      <w:r>
        <w:t xml:space="preserve">The assessment of priority of a referral can only be made on the basis of the information given on the referral letter and in many cases the priority classification will be based on national guidance. Thus the reason for request of urgent or USC must be clear in the referral letter. For further guidance on the information expected in a referral letter see BMA guidance 2007 and GMC guidance quoted below. If any doubt remains as to the appropriate priority further information should be sought from the referrer.  Any change in the referral priority should be notified either automatically via referral portal or a standard letter stating the referral priority has been altered should be sent to the referring GP. </w:t>
      </w:r>
    </w:p>
    <w:p w:rsidR="00BF47F7" w:rsidRDefault="00BC005D">
      <w:pPr>
        <w:spacing w:after="12" w:line="259" w:lineRule="auto"/>
        <w:ind w:left="720" w:firstLine="0"/>
      </w:pPr>
      <w:r>
        <w:t xml:space="preserve"> </w:t>
      </w:r>
    </w:p>
    <w:p w:rsidR="00BF47F7" w:rsidRDefault="00BC005D">
      <w:pPr>
        <w:numPr>
          <w:ilvl w:val="0"/>
          <w:numId w:val="1"/>
        </w:numPr>
        <w:ind w:right="7" w:hanging="360"/>
      </w:pPr>
      <w:r>
        <w:t xml:space="preserve">Standard 5 </w:t>
      </w:r>
    </w:p>
    <w:p w:rsidR="00BC005D" w:rsidRDefault="00BC005D">
      <w:pPr>
        <w:spacing w:after="5" w:line="250" w:lineRule="auto"/>
        <w:ind w:left="720" w:firstLine="0"/>
        <w:rPr>
          <w:color w:val="0070C0"/>
        </w:rPr>
      </w:pPr>
    </w:p>
    <w:p w:rsidR="00BF47F7" w:rsidRPr="00BC005D" w:rsidRDefault="00BC005D">
      <w:pPr>
        <w:spacing w:after="5" w:line="250" w:lineRule="auto"/>
        <w:ind w:left="720" w:firstLine="0"/>
        <w:rPr>
          <w:szCs w:val="24"/>
        </w:rPr>
      </w:pPr>
      <w:r w:rsidRPr="00BC005D">
        <w:rPr>
          <w:color w:val="0070C0"/>
          <w:szCs w:val="24"/>
        </w:rPr>
        <w:t xml:space="preserve">Case illustration 2 revisited </w:t>
      </w:r>
    </w:p>
    <w:p w:rsidR="00BF47F7" w:rsidRPr="00BC005D" w:rsidRDefault="00BC005D">
      <w:pPr>
        <w:spacing w:after="0" w:line="241" w:lineRule="auto"/>
        <w:ind w:left="715"/>
        <w:rPr>
          <w:szCs w:val="24"/>
        </w:rPr>
      </w:pPr>
      <w:r w:rsidRPr="00BC005D">
        <w:rPr>
          <w:i/>
          <w:szCs w:val="24"/>
        </w:rPr>
        <w:t xml:space="preserve">If the same 56 year old man is referred into the liver clinic and as part of the work up was found to have multiple gallstones and gall bladder inflammation </w:t>
      </w:r>
      <w:r w:rsidRPr="00BC005D">
        <w:rPr>
          <w:i/>
          <w:szCs w:val="24"/>
        </w:rPr>
        <w:lastRenderedPageBreak/>
        <w:t>with appearances  suggesting recent passage of a stone then it would be the responsibility of the requesting consultant gastroenterologist to refer on to the surgical team.</w:t>
      </w:r>
      <w:r w:rsidRPr="00BC005D">
        <w:rPr>
          <w:szCs w:val="24"/>
        </w:rPr>
        <w:t xml:space="preserve"> </w:t>
      </w:r>
    </w:p>
    <w:p w:rsidR="00BF47F7" w:rsidRPr="00BC005D" w:rsidRDefault="00BC005D">
      <w:pPr>
        <w:spacing w:after="0" w:line="241" w:lineRule="auto"/>
        <w:ind w:left="715"/>
        <w:rPr>
          <w:szCs w:val="24"/>
        </w:rPr>
      </w:pPr>
      <w:r w:rsidRPr="00BC005D">
        <w:rPr>
          <w:i/>
          <w:szCs w:val="24"/>
        </w:rPr>
        <w:t xml:space="preserve">If on examination this patient is found to have a longstanding problem with an eczematous rash on his back, he should be advised to see his GP routinely for this problem, not referred for a Consultant Dermatologist’s opinion. </w:t>
      </w:r>
    </w:p>
    <w:p w:rsidR="00BF47F7" w:rsidRPr="00BC005D" w:rsidRDefault="00BC005D">
      <w:pPr>
        <w:spacing w:after="56" w:line="259" w:lineRule="auto"/>
        <w:ind w:left="720" w:firstLine="0"/>
        <w:rPr>
          <w:szCs w:val="24"/>
        </w:rPr>
      </w:pPr>
      <w:r w:rsidRPr="00BC005D">
        <w:rPr>
          <w:i/>
          <w:szCs w:val="24"/>
        </w:rPr>
        <w:t xml:space="preserve"> </w:t>
      </w:r>
    </w:p>
    <w:p w:rsidR="00BF47F7" w:rsidRDefault="00BC005D">
      <w:pPr>
        <w:numPr>
          <w:ilvl w:val="0"/>
          <w:numId w:val="1"/>
        </w:numPr>
        <w:ind w:right="7" w:hanging="360"/>
      </w:pPr>
      <w:r>
        <w:t xml:space="preserve">Standard 6 </w:t>
      </w:r>
    </w:p>
    <w:p w:rsidR="00BC005D" w:rsidRDefault="00BC005D">
      <w:pPr>
        <w:ind w:left="730" w:right="7"/>
      </w:pPr>
    </w:p>
    <w:p w:rsidR="00BF47F7" w:rsidRDefault="00BC005D">
      <w:pPr>
        <w:ind w:left="730" w:right="7"/>
      </w:pPr>
      <w:r>
        <w:t xml:space="preserve">Patients frequently contact the hospital to expedite outpatient FU appointments and the response depends on the individual situation, If the patient is already passed the proposed appointment date i.e. they were due to be seen in 3 months and it is now over 3 months and the patient has not heard anything then the patient should have an appointment requested as soon as possible. </w:t>
      </w:r>
    </w:p>
    <w:p w:rsidR="00BF47F7" w:rsidRDefault="00BC005D">
      <w:pPr>
        <w:ind w:left="730" w:right="7"/>
      </w:pPr>
      <w:r>
        <w:t xml:space="preserve"> For some patient pathways there is an agreed mechanism where the secretary receiving the call can obtain advice for a specialist nurse or the patient can speak to a specialist nurse and they will expedite the appointment if clinically appropriate.  </w:t>
      </w:r>
    </w:p>
    <w:p w:rsidR="00BF47F7" w:rsidRDefault="00BC005D">
      <w:pPr>
        <w:ind w:left="730" w:right="7"/>
      </w:pPr>
      <w:r>
        <w:t xml:space="preserve">Where no such pathway exists the medical secretary will ask the responsible consultant if they are happy to expedite on the basis of the information given by the patient. If the appointment is agreed to be expedited the patient will be informed, if it is not felt to be clinically indicated the patient will also be informed.  </w:t>
      </w:r>
    </w:p>
    <w:p w:rsidR="00BF47F7" w:rsidRDefault="00BC005D">
      <w:pPr>
        <w:ind w:left="730" w:right="7"/>
      </w:pPr>
      <w:r>
        <w:t xml:space="preserve">If the patient disagrees with the decision they would be advised that they seek clinical review by their GP, if the relevant condition had changed, and if the GP felt expediting the appointment was appropriate on a clinical basis they would be expected to contact the consultant by letter or email to request an expedited appointment. </w:t>
      </w:r>
    </w:p>
    <w:p w:rsidR="00BF47F7" w:rsidRDefault="00BC005D">
      <w:pPr>
        <w:spacing w:after="14" w:line="259" w:lineRule="auto"/>
        <w:ind w:left="720" w:firstLine="0"/>
      </w:pPr>
      <w:r>
        <w:t xml:space="preserve"> </w:t>
      </w:r>
    </w:p>
    <w:p w:rsidR="00BF47F7" w:rsidRDefault="00BC005D">
      <w:pPr>
        <w:numPr>
          <w:ilvl w:val="0"/>
          <w:numId w:val="2"/>
        </w:numPr>
        <w:ind w:right="7" w:hanging="360"/>
      </w:pPr>
      <w:r>
        <w:t xml:space="preserve">Standard 7 </w:t>
      </w:r>
    </w:p>
    <w:p w:rsidR="00BC005D" w:rsidRDefault="00BC005D">
      <w:pPr>
        <w:ind w:left="730" w:right="7"/>
      </w:pPr>
    </w:p>
    <w:p w:rsidR="00BF47F7" w:rsidRDefault="00BC005D">
      <w:pPr>
        <w:ind w:left="730" w:right="7"/>
      </w:pPr>
      <w:r>
        <w:t xml:space="preserve">This standard is direct from the GMC guidance on referral (below). This ensures that the patient is expecting an appointment and if patients understand why they are being referred they are less likely not to attend. If there is information of a sensitive nature which the referrer does not feel it would be appropriate to share with the patient until information is more complete it may be appropriate not to give all the details but this would be expected to be a rare occurrence. </w:t>
      </w:r>
    </w:p>
    <w:p w:rsidR="00BF47F7" w:rsidRDefault="00BC005D">
      <w:pPr>
        <w:spacing w:after="14" w:line="259" w:lineRule="auto"/>
        <w:ind w:left="720" w:firstLine="0"/>
      </w:pPr>
      <w:r>
        <w:t xml:space="preserve"> </w:t>
      </w:r>
    </w:p>
    <w:p w:rsidR="00BF47F7" w:rsidRDefault="00BC005D">
      <w:pPr>
        <w:numPr>
          <w:ilvl w:val="0"/>
          <w:numId w:val="2"/>
        </w:numPr>
        <w:ind w:right="7" w:hanging="360"/>
      </w:pPr>
      <w:r>
        <w:t xml:space="preserve">Standard 8 </w:t>
      </w:r>
    </w:p>
    <w:p w:rsidR="00BC005D" w:rsidRDefault="00BC005D">
      <w:pPr>
        <w:ind w:left="730" w:right="7"/>
      </w:pPr>
    </w:p>
    <w:p w:rsidR="00BF47F7" w:rsidRDefault="00BC005D">
      <w:pPr>
        <w:ind w:left="730" w:right="7"/>
      </w:pPr>
      <w:r>
        <w:t xml:space="preserve">This standard required little further explanation except to reinforce the need for hospital departments and GP practices to have systems in place to ensure </w:t>
      </w:r>
      <w:r>
        <w:lastRenderedPageBreak/>
        <w:t xml:space="preserve">that urgent communications are dealt with during the absence of individual GPs and consultants e.g. annual leave or sick leave. With the increasing use of email for clinical queries it is imperative that when emails are not going to be checked eg for annual leave the doctor ensures that an out of office notice is posted to ensure any person emailing is aware that they will not get a response and that if they need an urgent response they will need to seek an alternative. </w:t>
      </w:r>
    </w:p>
    <w:p w:rsidR="00BF47F7" w:rsidRDefault="00BC005D">
      <w:pPr>
        <w:spacing w:after="12" w:line="259" w:lineRule="auto"/>
        <w:ind w:left="720" w:firstLine="0"/>
      </w:pPr>
      <w:r>
        <w:t xml:space="preserve"> </w:t>
      </w:r>
    </w:p>
    <w:p w:rsidR="00BF47F7" w:rsidRDefault="00BC005D">
      <w:pPr>
        <w:numPr>
          <w:ilvl w:val="0"/>
          <w:numId w:val="2"/>
        </w:numPr>
        <w:ind w:right="7" w:hanging="360"/>
      </w:pPr>
      <w:r>
        <w:t xml:space="preserve">Standard 9 </w:t>
      </w:r>
    </w:p>
    <w:p w:rsidR="00BC005D" w:rsidRDefault="00BC005D">
      <w:pPr>
        <w:ind w:left="730" w:right="7"/>
      </w:pPr>
    </w:p>
    <w:p w:rsidR="00BF47F7" w:rsidRDefault="00BC005D">
      <w:pPr>
        <w:ind w:left="730" w:right="7"/>
      </w:pPr>
      <w:r>
        <w:t xml:space="preserve">For specific medications where the GP GMS contract does not include prescription or monitoring of the medication all responsibility for the safe prescribing and monitoring lies with the initiating team until a shared care arrangement is agreed with the GP unless there are specific circumstances which might compromise patient safety and then there must be a direct contact between GP and hospital consultant/specialist and GP will only take responsibility if they agree and feel it is within their competence. </w:t>
      </w:r>
    </w:p>
    <w:p w:rsidR="00BF47F7" w:rsidRDefault="00BC005D">
      <w:pPr>
        <w:spacing w:after="12" w:line="259" w:lineRule="auto"/>
        <w:ind w:left="720" w:firstLine="0"/>
      </w:pPr>
      <w:r>
        <w:t xml:space="preserve"> </w:t>
      </w:r>
    </w:p>
    <w:p w:rsidR="00BF47F7" w:rsidRDefault="00BC005D">
      <w:pPr>
        <w:numPr>
          <w:ilvl w:val="0"/>
          <w:numId w:val="2"/>
        </w:numPr>
        <w:ind w:right="7" w:hanging="360"/>
      </w:pPr>
      <w:r>
        <w:t xml:space="preserve">Standard 10 </w:t>
      </w:r>
    </w:p>
    <w:p w:rsidR="00BC005D" w:rsidRDefault="00BC005D">
      <w:pPr>
        <w:ind w:left="730" w:right="7"/>
      </w:pPr>
    </w:p>
    <w:p w:rsidR="00BF47F7" w:rsidRDefault="00BC005D">
      <w:pPr>
        <w:ind w:left="730" w:right="7"/>
      </w:pPr>
      <w:r>
        <w:t xml:space="preserve">This is a reiteration of Welsh Government (WG) Guidance. Patients in hospital should be given a Med3 certificate to cover the time in hospital and any expected recovery time before return to work. If there is uncertainty then a reasonable amount of time can be specified and only when this time expires should the patient return to the GP for reassessment. </w:t>
      </w:r>
    </w:p>
    <w:p w:rsidR="00BF47F7" w:rsidRDefault="00BC005D">
      <w:pPr>
        <w:spacing w:after="12" w:line="259" w:lineRule="auto"/>
        <w:ind w:left="720" w:firstLine="0"/>
      </w:pPr>
      <w:r>
        <w:t xml:space="preserve"> </w:t>
      </w:r>
    </w:p>
    <w:p w:rsidR="00BF47F7" w:rsidRDefault="00BC005D">
      <w:pPr>
        <w:numPr>
          <w:ilvl w:val="0"/>
          <w:numId w:val="2"/>
        </w:numPr>
        <w:ind w:right="7" w:hanging="360"/>
      </w:pPr>
      <w:r>
        <w:t xml:space="preserve">Standard 11 </w:t>
      </w:r>
    </w:p>
    <w:p w:rsidR="00BC005D" w:rsidRDefault="00BC005D">
      <w:pPr>
        <w:ind w:left="730" w:right="7"/>
      </w:pPr>
    </w:p>
    <w:p w:rsidR="00BF47F7" w:rsidRDefault="00BC005D">
      <w:pPr>
        <w:ind w:left="730" w:right="7"/>
      </w:pPr>
      <w:r>
        <w:t xml:space="preserve">If a patient has rung and cancelled an outpatient appointment in advance or on the day of the appointment for the first time, this should be noted on the appropriate administrative system and another appointment sent without having to be re referred. WG patient pathway management dictates that patients who do not attend an agreed outpatient appointment without giving notice should be discharged.  </w:t>
      </w:r>
    </w:p>
    <w:p w:rsidR="00BF47F7" w:rsidRDefault="00BC005D">
      <w:pPr>
        <w:ind w:left="730" w:right="7"/>
      </w:pPr>
      <w:r>
        <w:t xml:space="preserve">There are a number of mitigating circumstances which many consultants will take into account and it may well be appropriate to send a second appointment particularly if the patient has had a short notice appointment. There may also be particular circumstances in the management of children  and safeguarding concerns to continue offering out-patient appointments. Once text and remind services are fully rolled out this should significantly reduce this requirement. </w:t>
      </w:r>
    </w:p>
    <w:p w:rsidR="00BF47F7" w:rsidRDefault="00BC005D">
      <w:pPr>
        <w:ind w:left="730" w:right="7"/>
      </w:pPr>
      <w:r>
        <w:t xml:space="preserve">If patients ring to cancel on the day twice in a row they will be discharged </w:t>
      </w:r>
    </w:p>
    <w:p w:rsidR="00BF47F7" w:rsidRDefault="00BC005D">
      <w:pPr>
        <w:ind w:left="730" w:right="7"/>
      </w:pPr>
      <w:r>
        <w:lastRenderedPageBreak/>
        <w:t xml:space="preserve">unless the consultant overrides this decision for patient safety reasons or reasons as above. On discharge from outpatient both the GP and the patient should be notified with a standard letter.  </w:t>
      </w:r>
    </w:p>
    <w:p w:rsidR="00BF47F7" w:rsidRDefault="00BC005D">
      <w:pPr>
        <w:spacing w:after="0" w:line="259" w:lineRule="auto"/>
        <w:ind w:left="720" w:firstLine="0"/>
      </w:pPr>
      <w:r>
        <w:t xml:space="preserve"> </w:t>
      </w:r>
    </w:p>
    <w:p w:rsidR="00BF47F7" w:rsidRDefault="00BC005D">
      <w:pPr>
        <w:spacing w:after="0" w:line="259" w:lineRule="auto"/>
        <w:ind w:left="720" w:firstLine="0"/>
      </w:pPr>
      <w:r>
        <w:rPr>
          <w:rFonts w:ascii="Times New Roman" w:eastAsia="Times New Roman" w:hAnsi="Times New Roman" w:cs="Times New Roman"/>
        </w:rPr>
        <w:t xml:space="preserve"> </w:t>
      </w:r>
    </w:p>
    <w:p w:rsidR="00BF47F7" w:rsidRDefault="00BC005D">
      <w:pPr>
        <w:spacing w:after="0" w:line="259" w:lineRule="auto"/>
        <w:ind w:left="720" w:firstLine="0"/>
      </w:pPr>
      <w:r>
        <w:rPr>
          <w:rFonts w:ascii="Times New Roman" w:eastAsia="Times New Roman" w:hAnsi="Times New Roman" w:cs="Times New Roman"/>
        </w:rPr>
        <w:t xml:space="preserve"> </w:t>
      </w:r>
    </w:p>
    <w:p w:rsidR="00BF47F7" w:rsidRPr="00BC005D" w:rsidRDefault="00BC005D" w:rsidP="00BC005D">
      <w:pPr>
        <w:pStyle w:val="Heading1"/>
        <w:numPr>
          <w:ilvl w:val="0"/>
          <w:numId w:val="0"/>
        </w:numPr>
        <w:ind w:left="-5"/>
        <w:jc w:val="center"/>
        <w:rPr>
          <w:sz w:val="28"/>
          <w:szCs w:val="28"/>
        </w:rPr>
      </w:pPr>
      <w:r w:rsidRPr="00BC005D">
        <w:rPr>
          <w:sz w:val="28"/>
          <w:szCs w:val="28"/>
        </w:rPr>
        <w:t>Professional Guidance</w:t>
      </w:r>
    </w:p>
    <w:p w:rsidR="00BC005D" w:rsidRDefault="00BC005D">
      <w:pPr>
        <w:ind w:left="-5" w:right="7"/>
      </w:pPr>
    </w:p>
    <w:p w:rsidR="00BF47F7" w:rsidRDefault="00BC005D">
      <w:pPr>
        <w:ind w:left="-5" w:right="7"/>
      </w:pPr>
      <w:r>
        <w:t xml:space="preserve">General Medical Council </w:t>
      </w:r>
    </w:p>
    <w:p w:rsidR="00F50EDF" w:rsidRDefault="00F50EDF">
      <w:pPr>
        <w:ind w:left="-5" w:right="160"/>
      </w:pPr>
    </w:p>
    <w:p w:rsidR="00BF47F7" w:rsidRDefault="00BC005D">
      <w:pPr>
        <w:ind w:left="-5" w:right="160"/>
      </w:pPr>
      <w:bookmarkStart w:id="0" w:name="_GoBack"/>
      <w:bookmarkEnd w:id="0"/>
      <w:r>
        <w:t xml:space="preserve">The following applies whether you are delegating or referring. </w:t>
      </w:r>
      <w:r>
        <w:rPr>
          <w:b/>
        </w:rPr>
        <w:t xml:space="preserve">a </w:t>
      </w:r>
      <w:r>
        <w:t xml:space="preserve">You should explain to the patient that you plan to transfer part or all of their care, and explain why. </w:t>
      </w:r>
      <w:r>
        <w:rPr>
          <w:b/>
        </w:rPr>
        <w:t xml:space="preserve">b </w:t>
      </w:r>
      <w:r>
        <w:t xml:space="preserve">You must pass on to the healthcare professional involved: i relevant information about the patient’s condition and history:  ii the purpose of transferring care and/or the investigation, care or treatment the patient needs.  </w:t>
      </w:r>
      <w:r>
        <w:rPr>
          <w:b/>
        </w:rPr>
        <w:t xml:space="preserve">c </w:t>
      </w:r>
      <w:r>
        <w:t xml:space="preserve">You should check that the patient understands what information you will pass on and why.† If the patient objects to a disclosure of information about them that you consider essential to the safe provision of care, you should explain that you cannot refer them or arrange for their treatment without also disclosing that information. </w:t>
      </w:r>
    </w:p>
    <w:p w:rsidR="00BF47F7" w:rsidRDefault="00BC005D">
      <w:pPr>
        <w:spacing w:after="0" w:line="259" w:lineRule="auto"/>
        <w:ind w:left="0" w:firstLine="0"/>
      </w:pPr>
      <w:r>
        <w:t xml:space="preserve"> </w:t>
      </w:r>
    </w:p>
    <w:p w:rsidR="00BF47F7" w:rsidRDefault="00BC005D">
      <w:pPr>
        <w:ind w:left="-5" w:right="7"/>
      </w:pPr>
      <w:r>
        <w:t xml:space="preserve">ROBERT POWELL ENQUIRY </w:t>
      </w:r>
    </w:p>
    <w:p w:rsidR="00BF47F7" w:rsidRDefault="00BC005D">
      <w:pPr>
        <w:spacing w:after="0" w:line="259" w:lineRule="auto"/>
        <w:ind w:left="0" w:firstLine="0"/>
      </w:pPr>
      <w:r>
        <w:t xml:space="preserve"> </w:t>
      </w:r>
    </w:p>
    <w:p w:rsidR="00BF47F7" w:rsidRDefault="00BC005D">
      <w:pPr>
        <w:numPr>
          <w:ilvl w:val="0"/>
          <w:numId w:val="4"/>
        </w:numPr>
        <w:spacing w:after="200" w:line="240" w:lineRule="auto"/>
        <w:ind w:right="-8" w:hanging="300"/>
        <w:jc w:val="both"/>
      </w:pPr>
      <w:r>
        <w:t xml:space="preserve">General Practitioners need to be adequately informed, in writing, of the material facts and intended course of further investigation when a patient is discharged from hospital.  </w:t>
      </w:r>
    </w:p>
    <w:p w:rsidR="00BF47F7" w:rsidRDefault="00BC005D">
      <w:pPr>
        <w:numPr>
          <w:ilvl w:val="0"/>
          <w:numId w:val="4"/>
        </w:numPr>
        <w:spacing w:after="200" w:line="240" w:lineRule="auto"/>
        <w:ind w:right="-8" w:hanging="300"/>
        <w:jc w:val="both"/>
      </w:pPr>
      <w:r>
        <w:t xml:space="preserve">Correspondence of the type identified above needs to be addressed to the General Practitioner who made the referral. The current evidence is that this does not always occur.  </w:t>
      </w:r>
    </w:p>
    <w:p w:rsidR="00BF47F7" w:rsidRDefault="00BC005D">
      <w:pPr>
        <w:spacing w:after="200" w:line="240" w:lineRule="auto"/>
        <w:ind w:left="715" w:right="-8" w:hanging="370"/>
        <w:jc w:val="both"/>
      </w:pPr>
      <w:r>
        <w:t xml:space="preserve">4. All correspondence from a hospital should be considered by the General Practitioner who made the referral. If it is not addressed to that doctor but another doctor in the practice then the practice administration should ensure that it is brought to the referring doctor’s attention or a designated doctor if the referring doctor is away from the practice; on holiday for example.  </w:t>
      </w:r>
    </w:p>
    <w:p w:rsidR="00BF47F7" w:rsidRDefault="00BC005D">
      <w:pPr>
        <w:spacing w:after="0" w:line="259" w:lineRule="auto"/>
        <w:ind w:left="0" w:firstLine="0"/>
      </w:pPr>
      <w:r>
        <w:t xml:space="preserve"> </w:t>
      </w:r>
    </w:p>
    <w:p w:rsidR="00BF47F7" w:rsidRDefault="00BC005D">
      <w:pPr>
        <w:ind w:left="-5" w:right="7"/>
      </w:pPr>
      <w:r>
        <w:t xml:space="preserve">BMA </w:t>
      </w:r>
    </w:p>
    <w:p w:rsidR="00BC005D" w:rsidRDefault="00BC005D">
      <w:pPr>
        <w:ind w:left="-5" w:right="7"/>
      </w:pPr>
    </w:p>
    <w:p w:rsidR="00BF47F7" w:rsidRDefault="00BC005D">
      <w:pPr>
        <w:ind w:left="-5" w:right="7"/>
      </w:pPr>
      <w:r>
        <w:t xml:space="preserve">Duty of care regarding communication of investigation results  </w:t>
      </w:r>
    </w:p>
    <w:p w:rsidR="00BF47F7" w:rsidRDefault="00BC005D">
      <w:pPr>
        <w:spacing w:after="131"/>
        <w:ind w:left="-5" w:right="7"/>
      </w:pPr>
      <w:r>
        <w:t xml:space="preserve">We are aware that in some areas, some hospital doctors have been instructing GPs to find out the test results which the hospital had ordered. </w:t>
      </w:r>
    </w:p>
    <w:p w:rsidR="00BF47F7" w:rsidRDefault="00BC005D">
      <w:pPr>
        <w:spacing w:after="131"/>
        <w:ind w:left="-5" w:right="7"/>
      </w:pPr>
      <w:r>
        <w:t xml:space="preserve">Both the General Practitioner Committee and the Consultants Committee of the BMA agree this practice is potentially unsafe, and that the ultimate responsibility for ensuring that results are acted upon, rests with the person requesting the test. </w:t>
      </w:r>
    </w:p>
    <w:p w:rsidR="00BF47F7" w:rsidRDefault="00BC005D">
      <w:pPr>
        <w:spacing w:after="131"/>
        <w:ind w:left="-5" w:right="7"/>
      </w:pPr>
      <w:r>
        <w:lastRenderedPageBreak/>
        <w:t xml:space="preserve">That responsibility can only be delegated to someone else if they accept by prior agreement. </w:t>
      </w:r>
    </w:p>
    <w:p w:rsidR="00BF47F7" w:rsidRDefault="00BC005D">
      <w:pPr>
        <w:spacing w:after="131"/>
        <w:ind w:left="-5" w:right="7"/>
      </w:pPr>
      <w:r>
        <w:t xml:space="preserve">Handover of responsibility has to be a joint consensual decision between hospital team and GP. If the GP hasn't accepted that role, the person requesting the test must retain responsibility. </w:t>
      </w:r>
    </w:p>
    <w:p w:rsidR="00BF47F7" w:rsidRDefault="00BC005D">
      <w:pPr>
        <w:spacing w:after="131"/>
        <w:ind w:left="-5" w:right="7"/>
      </w:pPr>
      <w:r>
        <w:t xml:space="preserve">This advice is in line with both National Patient Safety Agency guidance and the Ionising Radiation (Medical Exposure) Regulations </w:t>
      </w:r>
    </w:p>
    <w:p w:rsidR="00BF47F7" w:rsidRDefault="00BC005D">
      <w:pPr>
        <w:spacing w:after="0" w:line="259" w:lineRule="auto"/>
        <w:ind w:left="0" w:firstLine="0"/>
      </w:pPr>
      <w:r>
        <w:t xml:space="preserve"> </w:t>
      </w:r>
    </w:p>
    <w:sectPr w:rsidR="00BF47F7">
      <w:headerReference w:type="even" r:id="rId7"/>
      <w:headerReference w:type="default" r:id="rId8"/>
      <w:footerReference w:type="even" r:id="rId9"/>
      <w:footerReference w:type="default" r:id="rId10"/>
      <w:headerReference w:type="first" r:id="rId11"/>
      <w:footerReference w:type="first" r:id="rId12"/>
      <w:pgSz w:w="11906" w:h="16838"/>
      <w:pgMar w:top="1480" w:right="1797" w:bottom="1498" w:left="1800" w:header="734"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CC" w:rsidRDefault="00084ECC">
      <w:pPr>
        <w:spacing w:after="0" w:line="240" w:lineRule="auto"/>
      </w:pPr>
      <w:r>
        <w:separator/>
      </w:r>
    </w:p>
  </w:endnote>
  <w:endnote w:type="continuationSeparator" w:id="0">
    <w:p w:rsidR="00084ECC" w:rsidRDefault="0008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C005D">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1125017</wp:posOffset>
              </wp:positionH>
              <wp:positionV relativeFrom="page">
                <wp:posOffset>9873690</wp:posOffset>
              </wp:positionV>
              <wp:extent cx="5312029" cy="6097"/>
              <wp:effectExtent l="0" t="0" r="0" b="0"/>
              <wp:wrapSquare wrapText="bothSides"/>
              <wp:docPr id="6393" name="Group 6393"/>
              <wp:cNvGraphicFramePr/>
              <a:graphic xmlns:a="http://schemas.openxmlformats.org/drawingml/2006/main">
                <a:graphicData uri="http://schemas.microsoft.com/office/word/2010/wordprocessingGroup">
                  <wpg:wgp>
                    <wpg:cNvGrpSpPr/>
                    <wpg:grpSpPr>
                      <a:xfrm>
                        <a:off x="0" y="0"/>
                        <a:ext cx="5312029" cy="6097"/>
                        <a:chOff x="0" y="0"/>
                        <a:chExt cx="5312029" cy="6097"/>
                      </a:xfrm>
                    </wpg:grpSpPr>
                    <wps:wsp>
                      <wps:cNvPr id="6595" name="Shape 6595"/>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8E6AA1E" id="Group 6393" o:spid="_x0000_s1026" style="position:absolute;margin-left:88.6pt;margin-top:777.45pt;width:418.25pt;height:.5pt;z-index:251658240;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cEgwIAAFUGAAAOAAAAZHJzL2Uyb0RvYy54bWykVdtu2zAMfR+wfxD0vtpJ2nQx4vRh2foy&#10;bMXafYAiyxdAlgRJjZO/H0VbitcCxdC1gE1Th0fkocRs7069JEdhXadVSRdXOSVCcV11qinp76dv&#10;nz5T4jxTFZNaiZKehaN3u48ftoMpxFK3WlbCEiBRrhhMSVvvTZFljreiZ+5KG6Fgsda2Zx4+bZNV&#10;lg3A3stsmefrbNC2MlZz4Rx49+Mi3SF/XQvuf9a1E57IkkJuHp8Wn4fwzHZbVjSWmbbjUxrsHVn0&#10;rFOwaaLaM8/Is+1eUfUdt9rp2l9x3We6rjsusAaoZpG/qObe6meDtTTF0JgkE0j7Qqd30/IfxwdL&#10;uqqk69VmRYliPXQJNyboAYEG0xSAu7fm0TzYydGMX6HmU2378IZqyAmlPSdpxckTDs6b1WKZLzeU&#10;cFhb55vbUXneQnteBfH261thWdwyC5mlRAYDR8hdVHL/p9Jjy4xA8V2oPqp0s7mJKiGCrIMHRUFc&#10;ksgVDtR6lz6bxfV1oEyFsoI/O38vNOrMjt+dh2U4bVW0WBstflLRtHD83zz4hvkQF6iCSYZZo9qS&#10;Yh5hsddH8aQR5l90C3K8rEo1R6Wex+MA2IiIb4N8c+Ss+AiK7xEM1xgI/xGGNzztC0aoE5VNtYNz&#10;rq5UQQbYhDOYR7VkHi9233kYVLLrYcotb/P8Qgxs4eiN3UbLn6UIYkn1S9RwufBSBIezzeGLtOTI&#10;wjjCPyRn0rRs8k6Nn6CYKvKE+LqTMlEuMPQvyv0m/E8MEzjECZyEKTIfI/mUzTgOYahA0XEogigp&#10;CHfWyqd4BaMcN5lVG8yDrs44IFAQuIsoDc4urGOas2E4zr8Rdfk12P0BAAD//wMAUEsDBBQABgAI&#10;AAAAIQCbaHYU4wAAAA4BAAAPAAAAZHJzL2Rvd25yZXYueG1sTI9Bb4JAEIXvTfofNtOkt7qgpShl&#10;Mca0PRmTahPT2wgjENlZwq6A/75rL+1t3szLm++ly1E3oqfO1oYVhJMABHFuippLBV/796c5COuQ&#10;C2wMk4IrWVhm93cpJoUZ+JP6nSuFD2GboILKuTaR0uYVabQT0xL728l0Gp2XXSmLDgcfrhs5DYIX&#10;qbFm/6HCltYV5efdRSv4GHBYzcK3fnM+ra/f+2h72ISk1OPDuHoF4Wh0f2a44Xt0yDzT0Vy4sKLx&#10;Oo6n3uqHKHpegLhZgnAWgzj+7qIFyCyV/2tkPwAAAP//AwBQSwECLQAUAAYACAAAACEAtoM4kv4A&#10;AADhAQAAEwAAAAAAAAAAAAAAAAAAAAAAW0NvbnRlbnRfVHlwZXNdLnhtbFBLAQItABQABgAIAAAA&#10;IQA4/SH/1gAAAJQBAAALAAAAAAAAAAAAAAAAAC8BAABfcmVscy8ucmVsc1BLAQItABQABgAIAAAA&#10;IQDi5ucEgwIAAFUGAAAOAAAAAAAAAAAAAAAAAC4CAABkcnMvZTJvRG9jLnhtbFBLAQItABQABgAI&#10;AAAAIQCbaHYU4wAAAA4BAAAPAAAAAAAAAAAAAAAAAN0EAABkcnMvZG93bnJldi54bWxQSwUGAAAA&#10;AAQABADzAAAA7QUAAAAA&#10;">
              <v:shape id="Shape 6595"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468QA&#10;AADdAAAADwAAAGRycy9kb3ducmV2LnhtbESPS2vCQBSF9wX/w3CF7urEgqFGRxGl0k1bfO0vmWsy&#10;JHMnZMaY+us7guDycB4fZ77sbS06ar1xrGA8SkAQ504bLhQcD59vHyB8QNZYOyYFf+RhuRi8zDHT&#10;7so76vahEHGEfYYKyhCaTEqfl2TRj1xDHL2zay2GKNtC6havcdzW8j1JUmnRcCSU2NC6pLzaX2zk&#10;Tn+3qdmEn646mXW1y28Nf9+Ueh32qxmIQH14hh/tL60gnUwncH8Tn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AuOvEAAAA3QAAAA8AAAAAAAAAAAAAAAAAmAIAAGRycy9k&#10;b3ducmV2LnhtbFBLBQYAAAAABAAEAPUAAACJAwAAAAA=&#10;" path="m,l5312029,r,9144l,9144,,e" fillcolor="#d9d9d9" stroked="f" strokeweight="0">
                <v:stroke miterlimit="83231f" joinstyle="miter"/>
                <v:path arrowok="t" textboxrect="0,0,5312029,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p>
  <w:p w:rsidR="00BF47F7" w:rsidRDefault="00BC005D">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C005D">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1125017</wp:posOffset>
              </wp:positionH>
              <wp:positionV relativeFrom="page">
                <wp:posOffset>9873690</wp:posOffset>
              </wp:positionV>
              <wp:extent cx="5312029" cy="6097"/>
              <wp:effectExtent l="0" t="0" r="0" b="0"/>
              <wp:wrapSquare wrapText="bothSides"/>
              <wp:docPr id="6365" name="Group 6365"/>
              <wp:cNvGraphicFramePr/>
              <a:graphic xmlns:a="http://schemas.openxmlformats.org/drawingml/2006/main">
                <a:graphicData uri="http://schemas.microsoft.com/office/word/2010/wordprocessingGroup">
                  <wpg:wgp>
                    <wpg:cNvGrpSpPr/>
                    <wpg:grpSpPr>
                      <a:xfrm>
                        <a:off x="0" y="0"/>
                        <a:ext cx="5312029" cy="6097"/>
                        <a:chOff x="0" y="0"/>
                        <a:chExt cx="5312029" cy="6097"/>
                      </a:xfrm>
                    </wpg:grpSpPr>
                    <wps:wsp>
                      <wps:cNvPr id="6594" name="Shape 6594"/>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EF9C35B" id="Group 6365" o:spid="_x0000_s1026" style="position:absolute;margin-left:88.6pt;margin-top:777.45pt;width:418.25pt;height:.5pt;z-index:251659264;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SLhAIAAFUGAAAOAAAAZHJzL2Uyb0RvYy54bWykVdtu2zAMfR+wfxD0vtpJm3Qx4vRh2fIy&#10;bMXafYAiyxdAlgRJiZO/H0VbjpcCxZC1gE1Th4fkkcSsn06tJEdhXaNVTmd3KSVCcV00qsrp79dv&#10;nz5T4jxTBZNaiZyehaNPm48f1p3JxFzXWhbCEiBRLutMTmvvTZYkjteiZe5OG6FgsdS2ZR4+bZUU&#10;lnXA3spknqbLpNO2MFZz4Rx4t/0i3SB/WQruf5alE57InEJtHp8Wn/vwTDZrllWWmbrhQxnshipa&#10;1ihIOlJtmWfkYJs3VG3DrXa69Hdct4kuy4YL7AG6maVX3eysPhjspcq6yowygbRXOt1My38cny1p&#10;ipwu75cLShRrYZcwMUEPCNSZKgPczpoX82wHR9V/hZ5PpW3DG7ohJ5T2PEorTp5wcC7uZ/N0vqKE&#10;w9oyXT32yvMatudNEK+/vheWxJRJqGwspDNwhNxFJfd/Kr3UzAgU34Xuo0qL1UNUCRFkGTwoCuJG&#10;iVzmQK2b9FnNHpBybJRl/OD8TmjUmR2/O98f3CJarI4WP6loWjj+7x58w3yIC0UGk3STjapzinWE&#10;xVYfxatGmL/aLajxsirVFDXueTwOgI2I+DbIN0VOmo+g+O7BcI2B8B9heMPHvGCEPjfrwcDewZ6q&#10;K1WQAZJwBvOolMzjxW4bD4NKNi1Mufljml6IgS0cvX630fJnKYJYUv0SJVwuvBTB4Wy1/yItObIw&#10;jvAPyZk0NRu84SxBSQMUbeQJ8WUj5Ug5w9C/KLer8D8wDOAQJ3ASjpFpH8mHavpxCEMFmo5DESoY&#10;gzCzVn6MVzDKMcmk22DudXHGAYGCwF1EaXB2YR/DnA3DcfqNqMuvweYPAAAA//8DAFBLAwQUAAYA&#10;CAAAACEAm2h2FOMAAAAOAQAADwAAAGRycy9kb3ducmV2LnhtbEyPQW+CQBCF7036HzbTpLe6oKUo&#10;ZTHGtD0Zk2oT09sIIxDZWcKugP++ay/tbd7My5vvpctRN6KnztaGFYSTAARxboqaSwVf+/enOQjr&#10;kAtsDJOCK1lYZvd3KSaFGfiT+p0rhQ9hm6CCyrk2kdLmFWm0E9MS+9vJdBqdl10piw4HH64bOQ2C&#10;F6mxZv+hwpbWFeXn3UUr+BhwWM3Ct35zPq2v3/toe9iEpNTjw7h6BeFodH9muOF7dMg809FcuLCi&#10;8TqOp97qhyh6XoC4WYJwFoM4/u6iBcgslf9rZD8AAAD//wMAUEsBAi0AFAAGAAgAAAAhALaDOJL+&#10;AAAA4QEAABMAAAAAAAAAAAAAAAAAAAAAAFtDb250ZW50X1R5cGVzXS54bWxQSwECLQAUAAYACAAA&#10;ACEAOP0h/9YAAACUAQAACwAAAAAAAAAAAAAAAAAvAQAAX3JlbHMvLnJlbHNQSwECLQAUAAYACAAA&#10;ACEAYrsUi4QCAABVBgAADgAAAAAAAAAAAAAAAAAuAgAAZHJzL2Uyb0RvYy54bWxQSwECLQAUAAYA&#10;CAAAACEAm2h2FOMAAAAOAQAADwAAAAAAAAAAAAAAAADeBAAAZHJzL2Rvd25yZXYueG1sUEsFBgAA&#10;AAAEAAQA8wAAAO4FAAAAAA==&#10;">
              <v:shape id="Shape 6594"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dcMUA&#10;AADdAAAADwAAAGRycy9kb3ducmV2LnhtbESPS2vCQBSF94X+h+EK3dWJpQ0aHaVYLN2o+NpfMtdk&#10;SOZOyIwx9dc7QqHLw3l8nNmit7XoqPXGsYLRMAFBnDttuFBwPKxexyB8QNZYOyYFv+RhMX9+mmGm&#10;3ZV31O1DIeII+wwVlCE0mZQ+L8miH7qGOHpn11oMUbaF1C1e47it5VuSpNKi4UgosaFlSXm1v9jI&#10;nWy/U/MVNl11Mstql98aXt+Uehn0n1MQgfrwH/5r/2gF6cfkHR5v4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B1wxQAAAN0AAAAPAAAAAAAAAAAAAAAAAJgCAABkcnMv&#10;ZG93bnJldi54bWxQSwUGAAAAAAQABAD1AAAAigMAAAAA&#10;" path="m,l5312029,r,9144l,9144,,e" fillcolor="#d9d9d9" stroked="f" strokeweight="0">
                <v:stroke miterlimit="83231f" joinstyle="miter"/>
                <v:path arrowok="t" textboxrect="0,0,5312029,9144"/>
              </v:shape>
              <w10:wrap type="square" anchorx="page" anchory="page"/>
            </v:group>
          </w:pict>
        </mc:Fallback>
      </mc:AlternateContent>
    </w:r>
    <w:r>
      <w:fldChar w:fldCharType="begin"/>
    </w:r>
    <w:r>
      <w:instrText xml:space="preserve"> PAGE   \* MERGEFORMAT </w:instrText>
    </w:r>
    <w:r>
      <w:fldChar w:fldCharType="separate"/>
    </w:r>
    <w:r w:rsidR="00F50EDF" w:rsidRPr="00F50EDF">
      <w:rPr>
        <w:rFonts w:ascii="Times New Roman" w:eastAsia="Times New Roman" w:hAnsi="Times New Roman" w:cs="Times New Roman"/>
        <w:b/>
        <w:noProof/>
      </w:rPr>
      <w:t>2</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p>
  <w:p w:rsidR="00BF47F7" w:rsidRDefault="00BC005D">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C005D">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1125017</wp:posOffset>
              </wp:positionH>
              <wp:positionV relativeFrom="page">
                <wp:posOffset>9873690</wp:posOffset>
              </wp:positionV>
              <wp:extent cx="5312029" cy="6097"/>
              <wp:effectExtent l="0" t="0" r="0" b="0"/>
              <wp:wrapSquare wrapText="bothSides"/>
              <wp:docPr id="6337" name="Group 6337"/>
              <wp:cNvGraphicFramePr/>
              <a:graphic xmlns:a="http://schemas.openxmlformats.org/drawingml/2006/main">
                <a:graphicData uri="http://schemas.microsoft.com/office/word/2010/wordprocessingGroup">
                  <wpg:wgp>
                    <wpg:cNvGrpSpPr/>
                    <wpg:grpSpPr>
                      <a:xfrm>
                        <a:off x="0" y="0"/>
                        <a:ext cx="5312029" cy="6097"/>
                        <a:chOff x="0" y="0"/>
                        <a:chExt cx="5312029" cy="6097"/>
                      </a:xfrm>
                    </wpg:grpSpPr>
                    <wps:wsp>
                      <wps:cNvPr id="6593" name="Shape 659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6B1E951" id="Group 6337" o:spid="_x0000_s1026" style="position:absolute;margin-left:88.6pt;margin-top:777.45pt;width:418.25pt;height:.5pt;z-index:251660288;mso-position-horizontal-relative:page;mso-position-vertical-relative:page" coordsize="53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lQgwIAAFUGAAAOAAAAZHJzL2Uyb0RvYy54bWykVdtu2zAMfR+wfxD0vtpJ2mQx4vRh2fIy&#10;bMXafYAiyxdAlgRJjZO/H0XbipcCxZC1gE1Th0fkocRsHk+tJEdhXaNVTmd3KSVCcV00qsrp75dv&#10;nz5T4jxTBZNaiZyehaOP248fNp3JxFzXWhbCEiBRLutMTmvvTZYkjteiZe5OG6FgsdS2ZR4+bZUU&#10;lnXA3spknqbLpNO2MFZz4Rx4d/0i3SJ/WQruf5alE57InEJuHp8Wn4fwTLYbllWWmbrhQxrshixa&#10;1ijYNFLtmGfk1TZvqNqGW+106e+4bhNdlg0XWANUM0uvqtlb/WqwlirrKhNlAmmvdLqZlv84PlnS&#10;FDldLhYrShRroUu4MUEPCNSZKgPc3ppn82QHR9V/hZpPpW3DG6ohJ5T2HKUVJ084OB8Ws3k6X1PC&#10;YW2Zrle98ryG9rwJ4vXX98KSccskZBYT6QwcIXdRyf2fSs81MwLFd6H6UaWH9WJUCRFkGTwoCuKi&#10;RC5zoNZN+qxn9/eBMhbKMv7q/F5o1JkdvzsPy3DaitFi9WjxkxpNC8f/3YNvmA9xgSqYpJs0qs4p&#10;5hEWW30ULxph/qpbkONlVaopKvZ8PA6AHRHj2yDfFDkpfgSN7x4M1xgI/xGGNzzuC0aoE5WNtYNz&#10;qq5UQQbYhDOYR6VkHi9223gYVLJpYcrNV2l6IQa2cPT6bqPlz1IEsaT6JUq4XHgpgsPZ6vBFWnJk&#10;YRzhH5IzaWo2eIfGD1BMFXlCfNlIGSlnGPoX5W4d/geGARziBE7CGJn2kXzIph+HMFSg6HEogigx&#10;CHfWysd4BaMcN5lUG8yDLs44IFAQuIsoDc4urGOYs2E4Tr8Rdfk12P4BAAD//wMAUEsDBBQABgAI&#10;AAAAIQCbaHYU4wAAAA4BAAAPAAAAZHJzL2Rvd25yZXYueG1sTI9Bb4JAEIXvTfofNtOkt7qgpShl&#10;Mca0PRmTahPT2wgjENlZwq6A/75rL+1t3szLm++ly1E3oqfO1oYVhJMABHFuippLBV/796c5COuQ&#10;C2wMk4IrWVhm93cpJoUZ+JP6nSuFD2GboILKuTaR0uYVabQT0xL728l0Gp2XXSmLDgcfrhs5DYIX&#10;qbFm/6HCltYV5efdRSv4GHBYzcK3fnM+ra/f+2h72ISk1OPDuHoF4Wh0f2a44Xt0yDzT0Vy4sKLx&#10;Oo6n3uqHKHpegLhZgnAWgzj+7qIFyCyV/2tkPwAAAP//AwBQSwECLQAUAAYACAAAACEAtoM4kv4A&#10;AADhAQAAEwAAAAAAAAAAAAAAAAAAAAAAW0NvbnRlbnRfVHlwZXNdLnhtbFBLAQItABQABgAIAAAA&#10;IQA4/SH/1gAAAJQBAAALAAAAAAAAAAAAAAAAAC8BAABfcmVscy8ucmVsc1BLAQItABQABgAIAAAA&#10;IQCKallQgwIAAFUGAAAOAAAAAAAAAAAAAAAAAC4CAABkcnMvZTJvRG9jLnhtbFBLAQItABQABgAI&#10;AAAAIQCbaHYU4wAAAA4BAAAPAAAAAAAAAAAAAAAAAN0EAABkcnMvZG93bnJldi54bWxQSwUGAAAA&#10;AAQABADzAAAA7QUAAAAA&#10;">
              <v:shape id="Shape 6593" o:spid="_x0000_s1027" style="position:absolute;width:53120;height:91;visibility:visible;mso-wrap-style:square;v-text-anchor:top" coordsize="53120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FBMUA&#10;AADdAAAADwAAAGRycy9kb3ducmV2LnhtbESPS2vCQBSF94X+h+EK3dWJLQ0aHaVYLN2o+NpfMtdk&#10;SOZOyIwx9dc7QqHLw3l8nNmit7XoqPXGsYLRMAFBnDttuFBwPKxexyB8QNZYOyYFv+RhMX9+mmGm&#10;3ZV31O1DIeII+wwVlCE0mZQ+L8miH7qGOHpn11oMUbaF1C1e47it5VuSpNKi4UgosaFlSXm1v9jI&#10;nWy/U/MVNl11Mstql98aXt+Uehn0n1MQgfrwH/5r/2gF6cfkHR5v4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YUExQAAAN0AAAAPAAAAAAAAAAAAAAAAAJgCAABkcnMv&#10;ZG93bnJldi54bWxQSwUGAAAAAAQABAD1AAAAigMAAAAA&#10;" path="m,l5312029,r,9144l,9144,,e" fillcolor="#d9d9d9" stroked="f" strokeweight="0">
                <v:stroke miterlimit="83231f" joinstyle="miter"/>
                <v:path arrowok="t" textboxrect="0,0,5312029,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p>
  <w:p w:rsidR="00BF47F7" w:rsidRDefault="00BC005D">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CC" w:rsidRDefault="00084ECC">
      <w:pPr>
        <w:spacing w:after="0" w:line="240" w:lineRule="auto"/>
      </w:pPr>
      <w:r>
        <w:separator/>
      </w:r>
    </w:p>
  </w:footnote>
  <w:footnote w:type="continuationSeparator" w:id="0">
    <w:p w:rsidR="00084ECC" w:rsidRDefault="00084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C005D">
    <w:pPr>
      <w:spacing w:after="58" w:line="259" w:lineRule="auto"/>
      <w:ind w:left="0" w:firstLine="0"/>
    </w:pPr>
    <w:r>
      <w:rPr>
        <w:rFonts w:ascii="Cambria" w:eastAsia="Cambria" w:hAnsi="Cambria" w:cs="Cambria"/>
        <w:sz w:val="16"/>
      </w:rPr>
      <w:t>11</w:t>
    </w:r>
    <w:r>
      <w:rPr>
        <w:rFonts w:ascii="Cambria" w:eastAsia="Cambria" w:hAnsi="Cambria" w:cs="Cambria"/>
        <w:sz w:val="16"/>
        <w:vertAlign w:val="superscript"/>
      </w:rPr>
      <w:t>th</w:t>
    </w:r>
    <w:r>
      <w:rPr>
        <w:rFonts w:ascii="Cambria" w:eastAsia="Cambria" w:hAnsi="Cambria" w:cs="Cambria"/>
        <w:sz w:val="16"/>
      </w:rPr>
      <w:t xml:space="preserve"> September 2017 </w:t>
    </w:r>
  </w:p>
  <w:p w:rsidR="00BF47F7" w:rsidRDefault="00BC005D">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F47F7">
    <w:pPr>
      <w:spacing w:after="58" w:line="259" w:lineRule="auto"/>
      <w:ind w:left="0" w:firstLine="0"/>
    </w:pPr>
  </w:p>
  <w:p w:rsidR="00BF47F7" w:rsidRDefault="00BC005D">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F7" w:rsidRDefault="00BC005D">
    <w:pPr>
      <w:spacing w:after="58" w:line="259" w:lineRule="auto"/>
      <w:ind w:left="0" w:firstLine="0"/>
    </w:pPr>
    <w:r>
      <w:rPr>
        <w:rFonts w:ascii="Cambria" w:eastAsia="Cambria" w:hAnsi="Cambria" w:cs="Cambria"/>
        <w:sz w:val="16"/>
      </w:rPr>
      <w:t>11</w:t>
    </w:r>
    <w:r>
      <w:rPr>
        <w:rFonts w:ascii="Cambria" w:eastAsia="Cambria" w:hAnsi="Cambria" w:cs="Cambria"/>
        <w:sz w:val="16"/>
        <w:vertAlign w:val="superscript"/>
      </w:rPr>
      <w:t>th</w:t>
    </w:r>
    <w:r>
      <w:rPr>
        <w:rFonts w:ascii="Cambria" w:eastAsia="Cambria" w:hAnsi="Cambria" w:cs="Cambria"/>
        <w:sz w:val="16"/>
      </w:rPr>
      <w:t xml:space="preserve"> September 2017 </w:t>
    </w:r>
  </w:p>
  <w:p w:rsidR="00BF47F7" w:rsidRDefault="00BC005D">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6725C"/>
    <w:multiLevelType w:val="hybridMultilevel"/>
    <w:tmpl w:val="E2987E1C"/>
    <w:lvl w:ilvl="0" w:tplc="88A21798">
      <w:start w:val="1"/>
      <w:numFmt w:val="decimal"/>
      <w:lvlText w:val="%1."/>
      <w:lvlJc w:val="left"/>
      <w:pPr>
        <w:ind w:left="6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E6BEF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E4FC6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16F55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0A83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CCDE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3CBAA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F22F1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28B33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486520E"/>
    <w:multiLevelType w:val="hybridMultilevel"/>
    <w:tmpl w:val="5F3846A8"/>
    <w:lvl w:ilvl="0" w:tplc="F40ABF8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E2E0">
      <w:start w:val="1"/>
      <w:numFmt w:val="lowerLetter"/>
      <w:lvlText w:val="%2"/>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1EB3C2">
      <w:start w:val="1"/>
      <w:numFmt w:val="lowerRoman"/>
      <w:lvlText w:val="%3"/>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80E38">
      <w:start w:val="1"/>
      <w:numFmt w:val="decimal"/>
      <w:lvlText w:val="%4"/>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05362">
      <w:start w:val="1"/>
      <w:numFmt w:val="lowerLetter"/>
      <w:lvlText w:val="%5"/>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0FB6C">
      <w:start w:val="1"/>
      <w:numFmt w:val="lowerRoman"/>
      <w:lvlText w:val="%6"/>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0918A">
      <w:start w:val="1"/>
      <w:numFmt w:val="decimal"/>
      <w:lvlText w:val="%7"/>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8B214">
      <w:start w:val="1"/>
      <w:numFmt w:val="lowerLetter"/>
      <w:lvlText w:val="%8"/>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0F1C8">
      <w:start w:val="1"/>
      <w:numFmt w:val="lowerRoman"/>
      <w:lvlText w:val="%9"/>
      <w:lvlJc w:val="left"/>
      <w:pPr>
        <w:ind w:left="6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E541819"/>
    <w:multiLevelType w:val="hybridMultilevel"/>
    <w:tmpl w:val="4D78508A"/>
    <w:lvl w:ilvl="0" w:tplc="2CCAA6FE">
      <w:start w:val="7"/>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3A57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901F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E23CC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1215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20ED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E602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B04C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9C8F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70E43B9D"/>
    <w:multiLevelType w:val="hybridMultilevel"/>
    <w:tmpl w:val="8750B0D6"/>
    <w:lvl w:ilvl="0" w:tplc="750CDFA6">
      <w:start w:val="2"/>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054BA2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DF02CD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6524B3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2E6F47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AC68D5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E5054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6F44F2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4487FD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nsid w:val="73084BBB"/>
    <w:multiLevelType w:val="hybridMultilevel"/>
    <w:tmpl w:val="09CC1A5A"/>
    <w:lvl w:ilvl="0" w:tplc="578AC9D0">
      <w:start w:val="2"/>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E2F20C">
      <w:start w:val="1"/>
      <w:numFmt w:val="upperLetter"/>
      <w:lvlText w:val="%2"/>
      <w:lvlJc w:val="left"/>
      <w:pPr>
        <w:ind w:left="7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8BAB0C4">
      <w:start w:val="1"/>
      <w:numFmt w:val="lowerRoman"/>
      <w:lvlText w:val="%3"/>
      <w:lvlJc w:val="left"/>
      <w:pPr>
        <w:ind w:left="14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0664F9C">
      <w:start w:val="1"/>
      <w:numFmt w:val="decimal"/>
      <w:lvlText w:val="%4"/>
      <w:lvlJc w:val="left"/>
      <w:pPr>
        <w:ind w:left="21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4D6C454">
      <w:start w:val="1"/>
      <w:numFmt w:val="lowerLetter"/>
      <w:lvlText w:val="%5"/>
      <w:lvlJc w:val="left"/>
      <w:pPr>
        <w:ind w:left="28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22860F0">
      <w:start w:val="1"/>
      <w:numFmt w:val="lowerRoman"/>
      <w:lvlText w:val="%6"/>
      <w:lvlJc w:val="left"/>
      <w:pPr>
        <w:ind w:left="36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EFEDBBC">
      <w:start w:val="1"/>
      <w:numFmt w:val="decimal"/>
      <w:lvlText w:val="%7"/>
      <w:lvlJc w:val="left"/>
      <w:pPr>
        <w:ind w:left="4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33E2A12">
      <w:start w:val="1"/>
      <w:numFmt w:val="lowerLetter"/>
      <w:lvlText w:val="%8"/>
      <w:lvlJc w:val="left"/>
      <w:pPr>
        <w:ind w:left="50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F946B82">
      <w:start w:val="1"/>
      <w:numFmt w:val="lowerRoman"/>
      <w:lvlText w:val="%9"/>
      <w:lvlJc w:val="left"/>
      <w:pPr>
        <w:ind w:left="57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F7"/>
    <w:rsid w:val="00084ECC"/>
    <w:rsid w:val="008C56D5"/>
    <w:rsid w:val="00BC005D"/>
    <w:rsid w:val="00BF47F7"/>
    <w:rsid w:val="00D35433"/>
    <w:rsid w:val="00F5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3B8CD-D540-493C-B6A9-01E728A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5"/>
      </w:numPr>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C&amp;VUHB</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ngt_citrixprovision</dc:creator>
  <cp:keywords/>
  <cp:lastModifiedBy>Graham Shortland (Cardiff and Vale UHB - Paediatrics)</cp:lastModifiedBy>
  <cp:revision>3</cp:revision>
  <dcterms:created xsi:type="dcterms:W3CDTF">2018-03-22T07:41:00Z</dcterms:created>
  <dcterms:modified xsi:type="dcterms:W3CDTF">2018-03-22T12:48:00Z</dcterms:modified>
</cp:coreProperties>
</file>